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66085"/>
      <w:bookmarkEnd w:id="0"/>
      <w:bookmarkStart w:id="1" w:name="_Hlt450039480"/>
      <w:bookmarkEnd w:id="1"/>
      <w:bookmarkStart w:id="2" w:name="_Hlt448930105"/>
      <w:bookmarkEnd w:id="2"/>
      <w:bookmarkStart w:id="3" w:name="_Hlt449016246"/>
      <w:bookmarkEnd w:id="3"/>
      <w:bookmarkStart w:id="4" w:name="_Hlt450051172"/>
      <w:bookmarkEnd w:id="4"/>
      <w:bookmarkStart w:id="5" w:name="_Hlt450066087"/>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418364</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band definition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7.9.1</w:t>
      </w:r>
      <w:bookmarkStart w:id="8" w:name="_GoBack"/>
      <w:bookmarkEnd w:id="8"/>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bidi w:val="0"/>
              <w:adjustRightInd w:val="0"/>
              <w:ind w:leftChars="0" w:right="0" w:rightChars="0"/>
              <w:textAlignment w:val="baseline"/>
              <w:rPr>
                <w:rFonts w:hint="default" w:eastAsia="宋体"/>
                <w:sz w:val="20"/>
                <w:szCs w:val="20"/>
                <w:highlight w:val="none"/>
                <w:lang w:val="en-US" w:eastAsia="zh-CN"/>
              </w:rPr>
            </w:pPr>
            <w:r>
              <w:rPr>
                <w:rFonts w:hint="eastAsia" w:eastAsia="宋体"/>
                <w:sz w:val="20"/>
                <w:szCs w:val="20"/>
                <w:highlight w:val="none"/>
                <w:lang w:val="en-US" w:eastAsia="zh-CN"/>
              </w:rPr>
              <w:t>RAN4 #112 meeting:</w:t>
            </w:r>
          </w:p>
          <w:p>
            <w:pPr>
              <w:pStyle w:val="4"/>
              <w:numPr>
                <w:ilvl w:val="2"/>
                <w:numId w:val="0"/>
              </w:numPr>
              <w:overflowPunct w:val="0"/>
              <w:autoSpaceDE w:val="0"/>
              <w:autoSpaceDN w:val="0"/>
              <w:bidi w:val="0"/>
              <w:adjustRightInd w:val="0"/>
              <w:ind w:leftChars="0" w:right="0" w:rightChars="0"/>
              <w:textAlignment w:val="baseline"/>
              <w:rPr>
                <w:rFonts w:hint="eastAsia"/>
                <w:sz w:val="20"/>
                <w:szCs w:val="20"/>
                <w:highlight w:val="none"/>
                <w:lang w:val="en-US" w:eastAsia="zh-CN"/>
              </w:rPr>
            </w:pPr>
            <w:r>
              <w:rPr>
                <w:sz w:val="20"/>
                <w:szCs w:val="20"/>
                <w:highlight w:val="none"/>
              </w:rPr>
              <w:t xml:space="preserve">Sub-topic 1-2: </w:t>
            </w:r>
            <w:r>
              <w:rPr>
                <w:sz w:val="20"/>
                <w:szCs w:val="20"/>
                <w:highlight w:val="none"/>
                <w:lang w:val="en-US" w:eastAsia="zh-TW"/>
              </w:rPr>
              <w:t>Band definitions</w:t>
            </w:r>
          </w:p>
          <w:p>
            <w:pPr>
              <w:overflowPunct w:val="0"/>
              <w:autoSpaceDE w:val="0"/>
              <w:autoSpaceDN w:val="0"/>
              <w:bidi w:val="0"/>
              <w:adjustRightInd w:val="0"/>
              <w:spacing w:after="180"/>
              <w:textAlignment w:val="baseline"/>
              <w:rPr>
                <w:rFonts w:hint="default"/>
                <w:sz w:val="20"/>
                <w:szCs w:val="20"/>
                <w:highlight w:val="none"/>
                <w:lang w:val="en-US" w:eastAsia="zh-CN"/>
              </w:rPr>
            </w:pPr>
            <w:r>
              <w:rPr>
                <w:rFonts w:hint="eastAsia"/>
                <w:sz w:val="20"/>
                <w:szCs w:val="20"/>
                <w:highlight w:val="none"/>
                <w:lang w:val="en-US" w:eastAsia="zh-CN"/>
              </w:rPr>
              <w:t>Agreement:</w:t>
            </w:r>
          </w:p>
          <w:p>
            <w:pPr>
              <w:overflowPunct w:val="0"/>
              <w:autoSpaceDE w:val="0"/>
              <w:autoSpaceDN w:val="0"/>
              <w:bidi w:val="0"/>
              <w:adjustRightInd w:val="0"/>
              <w:spacing w:after="180"/>
              <w:textAlignment w:val="baseline"/>
              <w:rPr>
                <w:sz w:val="20"/>
                <w:szCs w:val="20"/>
                <w:highlight w:val="none"/>
                <w:lang w:val="en-US" w:eastAsia="zh-TW"/>
              </w:rPr>
            </w:pPr>
            <w:r>
              <w:rPr>
                <w:sz w:val="20"/>
                <w:szCs w:val="20"/>
                <w:highlight w:val="none"/>
                <w:lang w:val="en-US" w:eastAsia="zh-TW"/>
              </w:rPr>
              <w:t xml:space="preserve">Define as a first Ku band for Region 1 (CEPT countries): 10.7 – 12.75 GHz (S-to-E) and </w:t>
            </w:r>
            <w:r>
              <w:rPr>
                <w:color w:val="auto"/>
                <w:sz w:val="20"/>
                <w:szCs w:val="20"/>
                <w:highlight w:val="none"/>
                <w:lang w:val="en-US" w:eastAsia="zh-TW"/>
              </w:rPr>
              <w:t xml:space="preserve">14.0 </w:t>
            </w:r>
            <w:r>
              <w:rPr>
                <w:sz w:val="20"/>
                <w:szCs w:val="20"/>
                <w:highlight w:val="none"/>
                <w:lang w:val="en-US" w:eastAsia="zh-TW"/>
              </w:rPr>
              <w:t>- 14.5 GHz (E-to-S).</w:t>
            </w:r>
          </w:p>
          <w:p>
            <w:pPr>
              <w:overflowPunct w:val="0"/>
              <w:autoSpaceDE w:val="0"/>
              <w:autoSpaceDN w:val="0"/>
              <w:bidi w:val="0"/>
              <w:adjustRightInd w:val="0"/>
              <w:spacing w:after="180"/>
              <w:textAlignment w:val="baseline"/>
              <w:rPr>
                <w:sz w:val="20"/>
                <w:szCs w:val="20"/>
                <w:highlight w:val="none"/>
                <w:lang w:val="en-US" w:eastAsia="zh-TW"/>
              </w:rPr>
            </w:pPr>
            <w:r>
              <w:rPr>
                <w:sz w:val="20"/>
                <w:szCs w:val="20"/>
                <w:highlight w:val="none"/>
                <w:lang w:val="en-US" w:eastAsia="zh-TW"/>
              </w:rPr>
              <w:t>Additional band definitions are expected once the applicable regulations have been identified and studied.</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bidi w:val="0"/>
              <w:adjustRightInd w:val="0"/>
              <w:ind w:leftChars="0" w:right="0" w:rightChars="0"/>
              <w:textAlignment w:val="baseline"/>
              <w:rPr>
                <w:rFonts w:hint="default" w:ascii="Times New Roman" w:hAnsi="Times New Roman" w:cs="Times New Roman"/>
                <w:sz w:val="20"/>
                <w:szCs w:val="20"/>
                <w:highlight w:val="none"/>
                <w:lang w:val="en-US"/>
              </w:rPr>
            </w:pPr>
            <w:r>
              <w:rPr>
                <w:rFonts w:hint="eastAsia" w:eastAsia="宋体"/>
                <w:sz w:val="20"/>
                <w:szCs w:val="20"/>
                <w:highlight w:val="none"/>
                <w:lang w:val="en-US" w:eastAsia="zh-CN"/>
              </w:rPr>
              <w:t>RAN4 #112bis meeting:</w:t>
            </w: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highlight w:val="none"/>
                <w:lang w:val="en-US" w:eastAsia="zh-TW"/>
              </w:rPr>
            </w:pPr>
            <w:r>
              <w:rPr>
                <w:rFonts w:hint="default" w:ascii="Times New Roman" w:hAnsi="Times New Roman" w:cs="Times New Roman"/>
                <w:sz w:val="20"/>
                <w:szCs w:val="20"/>
                <w:highlight w:val="none"/>
                <w:lang w:val="en-US"/>
              </w:rPr>
              <w:t xml:space="preserve">Sub-topic 1-2: </w:t>
            </w:r>
            <w:r>
              <w:rPr>
                <w:rFonts w:hint="default" w:ascii="Times New Roman" w:hAnsi="Times New Roman" w:cs="Times New Roman"/>
                <w:bCs/>
                <w:sz w:val="20"/>
                <w:szCs w:val="20"/>
                <w:highlight w:val="none"/>
                <w:lang w:val="en-US"/>
              </w:rPr>
              <w:t>Region 3 band definition</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r>
              <w:rPr>
                <w:rFonts w:hint="default" w:ascii="Times New Roman" w:hAnsi="Times New Roman" w:eastAsia="PMingLiU" w:cs="Times New Roman"/>
                <w:sz w:val="20"/>
                <w:szCs w:val="20"/>
                <w:highlight w:val="none"/>
                <w:lang w:val="en-US" w:eastAsia="zh-TW"/>
              </w:rPr>
              <w:t>Consider the following two bands for the NR NTN Ku band for the studied regulations (i.e. Taiwan, Japan, Australia) in the region 3:</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r>
              <w:rPr>
                <w:rFonts w:hint="default" w:ascii="Times New Roman" w:hAnsi="Times New Roman" w:eastAsia="PMingLiU" w:cs="Times New Roman"/>
                <w:sz w:val="20"/>
                <w:szCs w:val="20"/>
                <w:highlight w:val="none"/>
                <w:lang w:val="en-US" w:eastAsia="zh-TW"/>
              </w:rPr>
              <w:t xml:space="preserve">- Band nX: downlink 10.70 – 12.75 GHz (Space-to-Earth) and uplink 14 – 14.5 GHz (Earth-to-Space) </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r>
              <w:rPr>
                <w:rFonts w:hint="default" w:ascii="Times New Roman" w:hAnsi="Times New Roman" w:eastAsia="PMingLiU" w:cs="Times New Roman"/>
                <w:sz w:val="20"/>
                <w:szCs w:val="20"/>
                <w:highlight w:val="none"/>
                <w:lang w:val="en-US" w:eastAsia="zh-TW"/>
              </w:rPr>
              <w:t>- Band nY: downlink 10.70 – 12.75 GHz (Space-to-Earth) and uplink 13.75 – 14 GHz (Earth-to-Space) with priority for nX.</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Sub-topic 1-4: </w:t>
            </w:r>
            <w:r>
              <w:rPr>
                <w:rFonts w:hint="default" w:ascii="Times New Roman" w:hAnsi="Times New Roman" w:cs="Times New Roman"/>
                <w:bCs/>
                <w:sz w:val="20"/>
                <w:szCs w:val="20"/>
                <w:highlight w:val="none"/>
                <w:lang w:val="en-US"/>
              </w:rPr>
              <w:t>Inclusion of US in WI scope</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r>
              <w:rPr>
                <w:rFonts w:hint="default" w:ascii="Times New Roman" w:hAnsi="Times New Roman" w:eastAsia="PMingLiU" w:cs="Times New Roman"/>
                <w:sz w:val="20"/>
                <w:szCs w:val="20"/>
                <w:highlight w:val="none"/>
                <w:lang w:val="en-US" w:eastAsia="zh-TW"/>
              </w:rPr>
              <w:t>The US is in scope for the WI using the current allocation of the Ku band.</w:t>
            </w:r>
          </w:p>
          <w:p>
            <w:pPr>
              <w:keepNext/>
              <w:overflowPunct w:val="0"/>
              <w:autoSpaceDE w:val="0"/>
              <w:autoSpaceDN w:val="0"/>
              <w:adjustRightInd w:val="0"/>
              <w:spacing w:after="0" w:line="259" w:lineRule="auto"/>
              <w:textAlignment w:val="baseline"/>
              <w:rPr>
                <w:rFonts w:hint="default" w:ascii="Times New Roman" w:hAnsi="Times New Roman" w:eastAsia="PMingLiU" w:cs="Times New Roman"/>
                <w:sz w:val="20"/>
                <w:szCs w:val="20"/>
                <w:highlight w:val="none"/>
                <w:lang w:val="en-US" w:eastAsia="zh-TW"/>
              </w:rPr>
            </w:pPr>
          </w:p>
          <w:p>
            <w:pPr>
              <w:pStyle w:val="4"/>
              <w:numPr>
                <w:ilvl w:val="0"/>
                <w:numId w:val="0"/>
              </w:numPr>
              <w:overflowPunct w:val="0"/>
              <w:autoSpaceDE w:val="0"/>
              <w:autoSpaceDN w:val="0"/>
              <w:adjustRightInd w:val="0"/>
              <w:ind w:left="720" w:hanging="720"/>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Sub-topic 1-5: </w:t>
            </w:r>
            <w:r>
              <w:rPr>
                <w:rFonts w:hint="default" w:ascii="Times New Roman" w:hAnsi="Times New Roman" w:cs="Times New Roman"/>
                <w:bCs/>
                <w:sz w:val="20"/>
                <w:szCs w:val="20"/>
                <w:highlight w:val="none"/>
                <w:lang w:val="en-US"/>
              </w:rPr>
              <w:t>Region 2 band definition</w:t>
            </w:r>
          </w:p>
          <w:p>
            <w:pPr>
              <w:keepNext/>
              <w:overflowPunct w:val="0"/>
              <w:autoSpaceDE w:val="0"/>
              <w:autoSpaceDN w:val="0"/>
              <w:adjustRightInd w:val="0"/>
              <w:spacing w:after="0" w:line="259" w:lineRule="auto"/>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eastAsia="PMingLiU" w:cs="Times New Roman"/>
                <w:sz w:val="20"/>
                <w:szCs w:val="20"/>
                <w:highlight w:val="none"/>
                <w:lang w:val="en-US" w:eastAsia="zh-TW"/>
              </w:rPr>
              <w:t>Agree the band 10.7-12.7 GHz (S-to-E) and 14.0-14.5 GHz (E-to-S) for North America.</w:t>
            </w:r>
          </w:p>
        </w:tc>
      </w:tr>
    </w:tbl>
    <w:p>
      <w:pPr>
        <w:bidi w:val="0"/>
        <w:rPr>
          <w:rFonts w:hint="eastAsia"/>
          <w:sz w:val="20"/>
          <w:szCs w:val="20"/>
          <w:lang w:val="en-US" w:eastAsia="zh-CN"/>
        </w:rPr>
      </w:pPr>
      <w:r>
        <w:rPr>
          <w:rFonts w:hint="eastAsia"/>
          <w:sz w:val="20"/>
          <w:szCs w:val="20"/>
          <w:lang w:val="en-US" w:eastAsia="zh-CN"/>
        </w:rPr>
        <w:t>The above are agreements in last two meetings, we reached some agreements on band definitions for region 1 and region 2. For region 3, we tend to consider two bands including Band nX: downlink 10.70–12.75 GHz (Space-to-Earth) and uplink 14–14.5 GHz (Earth-to-Space) and Band nY: downlink 10.70–12.75 GHz (Space-to-Earth) and uplink 13.75–14 GHz (Earth-to-Space) with priority for nX. According to the inputs from companies, in Japan, regulations will be based on ETSI, while Taiwan uses FCC regulation as a reference. Given this difference in regulations across countries within Region 3, we propose that band definitions be aligned with the referred regulations. Hence, it is proposed to define the following two bands based on referred regulations.</w:t>
      </w:r>
    </w:p>
    <w:p>
      <w:pPr>
        <w:pStyle w:val="56"/>
      </w:pPr>
      <w:r>
        <w:t xml:space="preserve">Table </w:t>
      </w:r>
      <w:r>
        <w:rPr>
          <w:rFonts w:hint="eastAsia"/>
          <w:lang w:val="en-US" w:eastAsia="zh-CN"/>
        </w:rPr>
        <w:t>2.1</w:t>
      </w:r>
      <w:r>
        <w:t xml:space="preserve">: </w:t>
      </w:r>
      <w:r>
        <w:rPr>
          <w:rFonts w:hint="eastAsia"/>
          <w:lang w:val="en-US" w:eastAsia="zh-CN"/>
        </w:rPr>
        <w:t>Band definitions for Ku band</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Uplink (UL) operating band</w:t>
            </w:r>
            <w:r>
              <w:rPr>
                <w:sz w:val="18"/>
                <w:szCs w:val="18"/>
              </w:rPr>
              <w:br w:type="textWrapping"/>
            </w:r>
            <w:r>
              <w:rPr>
                <w:sz w:val="18"/>
                <w:szCs w:val="18"/>
                <w:lang w:val="en-US"/>
              </w:rPr>
              <w:t>SAN</w:t>
            </w:r>
            <w:r>
              <w:rPr>
                <w:sz w:val="18"/>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F</w:t>
            </w:r>
            <w:r>
              <w:rPr>
                <w:sz w:val="18"/>
                <w:szCs w:val="18"/>
                <w:vertAlign w:val="subscript"/>
              </w:rPr>
              <w:t>UL,low</w:t>
            </w:r>
            <w:r>
              <w:rPr>
                <w:sz w:val="18"/>
                <w:szCs w:val="18"/>
              </w:rPr>
              <w:t xml:space="preserve">   –  F</w:t>
            </w:r>
            <w:r>
              <w:rPr>
                <w:sz w:val="18"/>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Downlink (DL) operating band</w:t>
            </w:r>
            <w:r>
              <w:rPr>
                <w:sz w:val="18"/>
                <w:szCs w:val="18"/>
              </w:rPr>
              <w:br w:type="textWrapping"/>
            </w:r>
            <w:r>
              <w:rPr>
                <w:sz w:val="18"/>
                <w:szCs w:val="18"/>
                <w:lang w:val="en-US"/>
              </w:rPr>
              <w:t>SAN</w:t>
            </w:r>
            <w:r>
              <w:rPr>
                <w:sz w:val="18"/>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F</w:t>
            </w:r>
            <w:r>
              <w:rPr>
                <w:sz w:val="18"/>
                <w:szCs w:val="18"/>
                <w:vertAlign w:val="subscript"/>
              </w:rPr>
              <w:t>DL,low</w:t>
            </w:r>
            <w:r>
              <w:rPr>
                <w:sz w:val="18"/>
                <w:szCs w:val="18"/>
              </w:rPr>
              <w:t xml:space="preserve">   –  F</w:t>
            </w:r>
            <w:r>
              <w:rPr>
                <w:sz w:val="18"/>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n</w:t>
            </w:r>
            <w:r>
              <w:rPr>
                <w:rFonts w:hint="eastAsia"/>
                <w:sz w:val="18"/>
                <w:szCs w:val="18"/>
                <w:lang w:val="en-US" w:eastAsia="zh-CN"/>
              </w:rPr>
              <w:t>X</w:t>
            </w:r>
            <w:r>
              <w:rPr>
                <w:sz w:val="18"/>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rFonts w:hint="eastAsia"/>
                <w:sz w:val="18"/>
                <w:szCs w:val="18"/>
                <w:lang w:val="en-US" w:eastAsia="zh-CN"/>
              </w:rPr>
              <w:t>140</w:t>
            </w:r>
            <w:r>
              <w:rPr>
                <w:sz w:val="18"/>
                <w:szCs w:val="18"/>
                <w:lang w:val="sv-SE"/>
              </w:rPr>
              <w:t xml:space="preserve">00 MHz - </w:t>
            </w:r>
            <w:r>
              <w:rPr>
                <w:rFonts w:hint="eastAsia"/>
                <w:sz w:val="18"/>
                <w:szCs w:val="18"/>
                <w:lang w:val="en-US" w:eastAsia="zh-CN"/>
              </w:rPr>
              <w:t>145</w:t>
            </w:r>
            <w:r>
              <w:rPr>
                <w:sz w:val="18"/>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1</w:t>
            </w:r>
            <w:r>
              <w:rPr>
                <w:rFonts w:hint="eastAsia"/>
                <w:sz w:val="18"/>
                <w:szCs w:val="18"/>
                <w:lang w:val="en-US" w:eastAsia="zh-CN"/>
              </w:rPr>
              <w:t>07</w:t>
            </w:r>
            <w:r>
              <w:rPr>
                <w:sz w:val="18"/>
                <w:szCs w:val="18"/>
                <w:lang w:val="sv-SE"/>
              </w:rPr>
              <w:t xml:space="preserve">00 MHz - </w:t>
            </w:r>
            <w:r>
              <w:rPr>
                <w:rFonts w:hint="eastAsia"/>
                <w:sz w:val="18"/>
                <w:szCs w:val="18"/>
                <w:lang w:val="en-US" w:eastAsia="zh-CN"/>
              </w:rPr>
              <w:t>1275</w:t>
            </w:r>
            <w:r>
              <w:rPr>
                <w:sz w:val="18"/>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n</w:t>
            </w:r>
            <w:r>
              <w:rPr>
                <w:rFonts w:hint="eastAsia"/>
                <w:sz w:val="18"/>
                <w:szCs w:val="18"/>
                <w:lang w:val="en-US" w:eastAsia="zh-CN"/>
              </w:rPr>
              <w:t>Y</w:t>
            </w:r>
            <w:r>
              <w:rPr>
                <w:sz w:val="18"/>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rFonts w:hint="eastAsia"/>
                <w:sz w:val="18"/>
                <w:szCs w:val="18"/>
                <w:lang w:val="en-US" w:eastAsia="zh-CN"/>
              </w:rPr>
              <w:t>1400</w:t>
            </w:r>
            <w:r>
              <w:rPr>
                <w:sz w:val="18"/>
                <w:szCs w:val="18"/>
                <w:lang w:val="sv-SE"/>
              </w:rPr>
              <w:t xml:space="preserve">0 MHz - </w:t>
            </w:r>
            <w:r>
              <w:rPr>
                <w:rFonts w:hint="eastAsia"/>
                <w:sz w:val="18"/>
                <w:szCs w:val="18"/>
                <w:lang w:val="en-US" w:eastAsia="zh-CN"/>
              </w:rPr>
              <w:t>145</w:t>
            </w:r>
            <w:r>
              <w:rPr>
                <w:sz w:val="18"/>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1</w:t>
            </w:r>
            <w:r>
              <w:rPr>
                <w:rFonts w:hint="eastAsia"/>
                <w:sz w:val="18"/>
                <w:szCs w:val="18"/>
                <w:lang w:val="en-US" w:eastAsia="zh-CN"/>
              </w:rPr>
              <w:t>07</w:t>
            </w:r>
            <w:r>
              <w:rPr>
                <w:sz w:val="18"/>
                <w:szCs w:val="18"/>
                <w:lang w:val="sv-SE"/>
              </w:rPr>
              <w:t xml:space="preserve">00 MHz - </w:t>
            </w:r>
            <w:r>
              <w:rPr>
                <w:rFonts w:hint="eastAsia"/>
                <w:sz w:val="18"/>
                <w:szCs w:val="18"/>
                <w:lang w:val="en-US" w:eastAsia="zh-CN"/>
              </w:rPr>
              <w:t>1270</w:t>
            </w:r>
            <w:r>
              <w:rPr>
                <w:sz w:val="18"/>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NOTE 1:</w:t>
            </w:r>
            <w:r>
              <w:rPr>
                <w:sz w:val="18"/>
                <w:szCs w:val="18"/>
              </w:rPr>
              <w:tab/>
            </w:r>
            <w:r>
              <w:rPr>
                <w:sz w:val="18"/>
                <w:szCs w:val="18"/>
              </w:rPr>
              <w:t>This band is applicable in the countries subject to CEPT ECC Decision</w:t>
            </w:r>
            <w:r>
              <w:rPr>
                <w:rFonts w:hint="eastAsia"/>
                <w:sz w:val="18"/>
                <w:szCs w:val="18"/>
                <w:lang w:val="en-US" w:eastAsia="zh-CN"/>
              </w:rPr>
              <w:t>s</w:t>
            </w:r>
            <w:r>
              <w:rPr>
                <w:sz w:val="18"/>
                <w:szCs w:val="18"/>
              </w:rPr>
              <w:t xml:space="preserve"> and </w:t>
            </w:r>
            <w:r>
              <w:rPr>
                <w:rFonts w:hint="eastAsia"/>
                <w:sz w:val="18"/>
                <w:szCs w:val="18"/>
              </w:rPr>
              <w:t>ETSI Harmonized Standards</w:t>
            </w:r>
            <w:r>
              <w:rPr>
                <w:sz w:val="18"/>
                <w:szCs w:val="18"/>
              </w:rPr>
              <w:t xml:space="preserve">.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NOTE 2:</w:t>
            </w:r>
            <w:r>
              <w:rPr>
                <w:sz w:val="18"/>
                <w:szCs w:val="18"/>
              </w:rPr>
              <w:tab/>
            </w:r>
            <w:r>
              <w:rPr>
                <w:sz w:val="18"/>
                <w:szCs w:val="18"/>
              </w:rPr>
              <w:t xml:space="preserve">This band is applicable in the </w:t>
            </w:r>
            <w:r>
              <w:rPr>
                <w:rFonts w:hint="eastAsia"/>
                <w:sz w:val="18"/>
                <w:szCs w:val="18"/>
                <w:lang w:val="en-US" w:eastAsia="zh-CN"/>
              </w:rPr>
              <w:t>countries</w:t>
            </w:r>
            <w:r>
              <w:rPr>
                <w:sz w:val="18"/>
                <w:szCs w:val="18"/>
              </w:rPr>
              <w:t xml:space="preserve"> subject to FCC 47 CFR part 25.</w:t>
            </w:r>
          </w:p>
        </w:tc>
      </w:tr>
    </w:tbl>
    <w:p>
      <w:pPr>
        <w:bidi w:val="0"/>
        <w:jc w:val="both"/>
        <w:rPr>
          <w:rFonts w:hint="eastAsia"/>
          <w:b/>
          <w:bCs/>
          <w:sz w:val="20"/>
          <w:szCs w:val="18"/>
          <w:lang w:val="en-US" w:eastAsia="zh-CN"/>
        </w:rPr>
      </w:pPr>
      <w:r>
        <w:rPr>
          <w:rFonts w:hint="eastAsia"/>
          <w:b/>
          <w:bCs/>
          <w:sz w:val="20"/>
          <w:szCs w:val="18"/>
          <w:lang w:val="en-US" w:eastAsia="zh-CN"/>
        </w:rPr>
        <w:t>Proposal 1: It is proposed to define the following two bands based on referred regulations.</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band definitions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eastAsia"/>
          <w:b/>
          <w:bCs/>
          <w:sz w:val="20"/>
          <w:szCs w:val="18"/>
          <w:lang w:val="en-US" w:eastAsia="zh-CN"/>
        </w:rPr>
      </w:pPr>
      <w:r>
        <w:rPr>
          <w:rFonts w:hint="eastAsia"/>
          <w:b/>
          <w:bCs/>
          <w:sz w:val="20"/>
          <w:szCs w:val="18"/>
          <w:lang w:val="en-US" w:eastAsia="zh-CN"/>
        </w:rPr>
        <w:t>Proposal 1: It is proposed to define the following two bands based on referred regulations.</w:t>
      </w:r>
    </w:p>
    <w:p>
      <w:pPr>
        <w:pStyle w:val="56"/>
      </w:pPr>
      <w:r>
        <w:t xml:space="preserve">Table </w:t>
      </w:r>
      <w:r>
        <w:rPr>
          <w:rFonts w:hint="eastAsia"/>
          <w:lang w:val="en-US" w:eastAsia="zh-CN"/>
        </w:rPr>
        <w:t>2.1</w:t>
      </w:r>
      <w:r>
        <w:t xml:space="preserve">: </w:t>
      </w:r>
      <w:r>
        <w:rPr>
          <w:rFonts w:hint="eastAsia"/>
          <w:lang w:val="en-US" w:eastAsia="zh-CN"/>
        </w:rPr>
        <w:t>Band definitions for Ku band</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Uplink (UL) operating band</w:t>
            </w:r>
            <w:r>
              <w:rPr>
                <w:sz w:val="18"/>
                <w:szCs w:val="18"/>
              </w:rPr>
              <w:br w:type="textWrapping"/>
            </w:r>
            <w:r>
              <w:rPr>
                <w:sz w:val="18"/>
                <w:szCs w:val="18"/>
                <w:lang w:val="en-US"/>
              </w:rPr>
              <w:t>SAN</w:t>
            </w:r>
            <w:r>
              <w:rPr>
                <w:sz w:val="18"/>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F</w:t>
            </w:r>
            <w:r>
              <w:rPr>
                <w:sz w:val="18"/>
                <w:szCs w:val="18"/>
                <w:vertAlign w:val="subscript"/>
              </w:rPr>
              <w:t>UL,low</w:t>
            </w:r>
            <w:r>
              <w:rPr>
                <w:sz w:val="18"/>
                <w:szCs w:val="18"/>
              </w:rPr>
              <w:t xml:space="preserve">   –  F</w:t>
            </w:r>
            <w:r>
              <w:rPr>
                <w:sz w:val="18"/>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Downlink (DL) operating band</w:t>
            </w:r>
            <w:r>
              <w:rPr>
                <w:sz w:val="18"/>
                <w:szCs w:val="18"/>
              </w:rPr>
              <w:br w:type="textWrapping"/>
            </w:r>
            <w:r>
              <w:rPr>
                <w:sz w:val="18"/>
                <w:szCs w:val="18"/>
                <w:lang w:val="en-US"/>
              </w:rPr>
              <w:t>SAN</w:t>
            </w:r>
            <w:r>
              <w:rPr>
                <w:sz w:val="18"/>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F</w:t>
            </w:r>
            <w:r>
              <w:rPr>
                <w:sz w:val="18"/>
                <w:szCs w:val="18"/>
                <w:vertAlign w:val="subscript"/>
              </w:rPr>
              <w:t>DL,low</w:t>
            </w:r>
            <w:r>
              <w:rPr>
                <w:sz w:val="18"/>
                <w:szCs w:val="18"/>
              </w:rPr>
              <w:t xml:space="preserve">   –  F</w:t>
            </w:r>
            <w:r>
              <w:rPr>
                <w:sz w:val="18"/>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bCs/>
                <w:sz w:val="18"/>
                <w:szCs w:val="18"/>
                <w:lang w:val="sv-SE"/>
              </w:rPr>
            </w:pPr>
            <w:r>
              <w:rPr>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n</w:t>
            </w:r>
            <w:r>
              <w:rPr>
                <w:rFonts w:hint="eastAsia"/>
                <w:sz w:val="18"/>
                <w:szCs w:val="18"/>
                <w:lang w:val="en-US" w:eastAsia="zh-CN"/>
              </w:rPr>
              <w:t>X</w:t>
            </w:r>
            <w:r>
              <w:rPr>
                <w:sz w:val="18"/>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rFonts w:hint="eastAsia"/>
                <w:sz w:val="18"/>
                <w:szCs w:val="18"/>
                <w:lang w:val="en-US" w:eastAsia="zh-CN"/>
              </w:rPr>
              <w:t>140</w:t>
            </w:r>
            <w:r>
              <w:rPr>
                <w:sz w:val="18"/>
                <w:szCs w:val="18"/>
                <w:lang w:val="sv-SE"/>
              </w:rPr>
              <w:t xml:space="preserve">00 MHz - </w:t>
            </w:r>
            <w:r>
              <w:rPr>
                <w:rFonts w:hint="eastAsia"/>
                <w:sz w:val="18"/>
                <w:szCs w:val="18"/>
                <w:lang w:val="en-US" w:eastAsia="zh-CN"/>
              </w:rPr>
              <w:t>145</w:t>
            </w:r>
            <w:r>
              <w:rPr>
                <w:sz w:val="18"/>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1</w:t>
            </w:r>
            <w:r>
              <w:rPr>
                <w:rFonts w:hint="eastAsia"/>
                <w:sz w:val="18"/>
                <w:szCs w:val="18"/>
                <w:lang w:val="en-US" w:eastAsia="zh-CN"/>
              </w:rPr>
              <w:t>07</w:t>
            </w:r>
            <w:r>
              <w:rPr>
                <w:sz w:val="18"/>
                <w:szCs w:val="18"/>
                <w:lang w:val="sv-SE"/>
              </w:rPr>
              <w:t xml:space="preserve">00 MHz - </w:t>
            </w:r>
            <w:r>
              <w:rPr>
                <w:rFonts w:hint="eastAsia"/>
                <w:sz w:val="18"/>
                <w:szCs w:val="18"/>
                <w:lang w:val="en-US" w:eastAsia="zh-CN"/>
              </w:rPr>
              <w:t>1275</w:t>
            </w:r>
            <w:r>
              <w:rPr>
                <w:sz w:val="18"/>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n</w:t>
            </w:r>
            <w:r>
              <w:rPr>
                <w:rFonts w:hint="eastAsia"/>
                <w:sz w:val="18"/>
                <w:szCs w:val="18"/>
                <w:lang w:val="en-US" w:eastAsia="zh-CN"/>
              </w:rPr>
              <w:t>Y</w:t>
            </w:r>
            <w:r>
              <w:rPr>
                <w:sz w:val="18"/>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rFonts w:hint="eastAsia"/>
                <w:sz w:val="18"/>
                <w:szCs w:val="18"/>
                <w:lang w:val="en-US" w:eastAsia="zh-CN"/>
              </w:rPr>
              <w:t>1400</w:t>
            </w:r>
            <w:r>
              <w:rPr>
                <w:sz w:val="18"/>
                <w:szCs w:val="18"/>
                <w:lang w:val="sv-SE"/>
              </w:rPr>
              <w:t xml:space="preserve">0 MHz - </w:t>
            </w:r>
            <w:r>
              <w:rPr>
                <w:rFonts w:hint="eastAsia"/>
                <w:sz w:val="18"/>
                <w:szCs w:val="18"/>
                <w:lang w:val="en-US" w:eastAsia="zh-CN"/>
              </w:rPr>
              <w:t>145</w:t>
            </w:r>
            <w:r>
              <w:rPr>
                <w:sz w:val="18"/>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1</w:t>
            </w:r>
            <w:r>
              <w:rPr>
                <w:rFonts w:hint="eastAsia"/>
                <w:sz w:val="18"/>
                <w:szCs w:val="18"/>
                <w:lang w:val="en-US" w:eastAsia="zh-CN"/>
              </w:rPr>
              <w:t>07</w:t>
            </w:r>
            <w:r>
              <w:rPr>
                <w:sz w:val="18"/>
                <w:szCs w:val="18"/>
                <w:lang w:val="sv-SE"/>
              </w:rPr>
              <w:t xml:space="preserve">00 MHz - </w:t>
            </w:r>
            <w:r>
              <w:rPr>
                <w:rFonts w:hint="eastAsia"/>
                <w:sz w:val="18"/>
                <w:szCs w:val="18"/>
                <w:lang w:val="en-US" w:eastAsia="zh-CN"/>
              </w:rPr>
              <w:t>1270</w:t>
            </w:r>
            <w:r>
              <w:rPr>
                <w:sz w:val="18"/>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lang w:val="sv-SE"/>
              </w:rPr>
            </w:pPr>
            <w:r>
              <w:rPr>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NOTE 1:</w:t>
            </w:r>
            <w:r>
              <w:rPr>
                <w:sz w:val="18"/>
                <w:szCs w:val="18"/>
              </w:rPr>
              <w:tab/>
            </w:r>
            <w:r>
              <w:rPr>
                <w:sz w:val="18"/>
                <w:szCs w:val="18"/>
              </w:rPr>
              <w:t>This band is applicable in the countries subject to CEPT ECC Decision</w:t>
            </w:r>
            <w:r>
              <w:rPr>
                <w:rFonts w:hint="eastAsia"/>
                <w:sz w:val="18"/>
                <w:szCs w:val="18"/>
                <w:lang w:val="en-US" w:eastAsia="zh-CN"/>
              </w:rPr>
              <w:t>s</w:t>
            </w:r>
            <w:r>
              <w:rPr>
                <w:sz w:val="18"/>
                <w:szCs w:val="18"/>
              </w:rPr>
              <w:t xml:space="preserve"> and </w:t>
            </w:r>
            <w:r>
              <w:rPr>
                <w:rFonts w:hint="eastAsia"/>
                <w:sz w:val="18"/>
                <w:szCs w:val="18"/>
              </w:rPr>
              <w:t>ETSI Harmonized Standards</w:t>
            </w:r>
            <w:r>
              <w:rPr>
                <w:sz w:val="18"/>
                <w:szCs w:val="18"/>
              </w:rPr>
              <w:t xml:space="preserve">.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sz w:val="18"/>
                <w:szCs w:val="18"/>
              </w:rPr>
            </w:pPr>
            <w:r>
              <w:rPr>
                <w:sz w:val="18"/>
                <w:szCs w:val="18"/>
              </w:rPr>
              <w:t>NOTE 2:</w:t>
            </w:r>
            <w:r>
              <w:rPr>
                <w:sz w:val="18"/>
                <w:szCs w:val="18"/>
              </w:rPr>
              <w:tab/>
            </w:r>
            <w:r>
              <w:rPr>
                <w:sz w:val="18"/>
                <w:szCs w:val="18"/>
              </w:rPr>
              <w:t xml:space="preserve">This band is applicable in the </w:t>
            </w:r>
            <w:r>
              <w:rPr>
                <w:rFonts w:hint="eastAsia"/>
                <w:sz w:val="18"/>
                <w:szCs w:val="18"/>
                <w:lang w:val="en-US" w:eastAsia="zh-CN"/>
              </w:rPr>
              <w:t>countries</w:t>
            </w:r>
            <w:r>
              <w:rPr>
                <w:sz w:val="18"/>
                <w:szCs w:val="18"/>
              </w:rPr>
              <w:t xml:space="preserve"> subject to FCC 47 CFR part 25.</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4F6A58"/>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99246C"/>
    <w:rsid w:val="09B33AE4"/>
    <w:rsid w:val="09BD407A"/>
    <w:rsid w:val="09BF125C"/>
    <w:rsid w:val="09C12CF5"/>
    <w:rsid w:val="09D948FE"/>
    <w:rsid w:val="09DA0E26"/>
    <w:rsid w:val="09DB6437"/>
    <w:rsid w:val="09E55691"/>
    <w:rsid w:val="09F67CD5"/>
    <w:rsid w:val="0A054821"/>
    <w:rsid w:val="0A077A43"/>
    <w:rsid w:val="0A0835C8"/>
    <w:rsid w:val="0A145721"/>
    <w:rsid w:val="0A335AB8"/>
    <w:rsid w:val="0A355EAA"/>
    <w:rsid w:val="0A3708FF"/>
    <w:rsid w:val="0A3B01F9"/>
    <w:rsid w:val="0A3F0488"/>
    <w:rsid w:val="0A402A36"/>
    <w:rsid w:val="0A4236A3"/>
    <w:rsid w:val="0A4E7EF5"/>
    <w:rsid w:val="0A596130"/>
    <w:rsid w:val="0A5C225D"/>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D1534F"/>
    <w:rsid w:val="0BD66314"/>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3D5146"/>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86F12"/>
    <w:rsid w:val="107C3E2C"/>
    <w:rsid w:val="107D41AE"/>
    <w:rsid w:val="108C2479"/>
    <w:rsid w:val="10B3132B"/>
    <w:rsid w:val="10B367A8"/>
    <w:rsid w:val="10C715C5"/>
    <w:rsid w:val="10D335EF"/>
    <w:rsid w:val="10E255A6"/>
    <w:rsid w:val="10E746EA"/>
    <w:rsid w:val="10E83FE0"/>
    <w:rsid w:val="10EC3168"/>
    <w:rsid w:val="10F02A44"/>
    <w:rsid w:val="10F52718"/>
    <w:rsid w:val="10F70AE6"/>
    <w:rsid w:val="10F80ADC"/>
    <w:rsid w:val="111071DE"/>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135C0"/>
    <w:rsid w:val="18B50543"/>
    <w:rsid w:val="18CA40C3"/>
    <w:rsid w:val="18CD7A02"/>
    <w:rsid w:val="18D904AC"/>
    <w:rsid w:val="18DC1AEF"/>
    <w:rsid w:val="18DF5689"/>
    <w:rsid w:val="18F74015"/>
    <w:rsid w:val="19001FFC"/>
    <w:rsid w:val="19002350"/>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9B77F5"/>
    <w:rsid w:val="1CA03243"/>
    <w:rsid w:val="1CAC112E"/>
    <w:rsid w:val="1CAF5DB2"/>
    <w:rsid w:val="1CB40DF1"/>
    <w:rsid w:val="1CB86812"/>
    <w:rsid w:val="1CB93C74"/>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0749C"/>
    <w:rsid w:val="1D4251BA"/>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852AD"/>
    <w:rsid w:val="204A5E48"/>
    <w:rsid w:val="204A6449"/>
    <w:rsid w:val="204E6676"/>
    <w:rsid w:val="20523B02"/>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06FD4"/>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84739"/>
    <w:rsid w:val="227E0D30"/>
    <w:rsid w:val="227E7CD6"/>
    <w:rsid w:val="228A4698"/>
    <w:rsid w:val="22914245"/>
    <w:rsid w:val="22925971"/>
    <w:rsid w:val="22945167"/>
    <w:rsid w:val="229B0BE2"/>
    <w:rsid w:val="22A55CD5"/>
    <w:rsid w:val="22C558BB"/>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A5148"/>
    <w:rsid w:val="239C062C"/>
    <w:rsid w:val="23A9484E"/>
    <w:rsid w:val="23B32F98"/>
    <w:rsid w:val="23B84268"/>
    <w:rsid w:val="23CC77A3"/>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5646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57C95"/>
    <w:rsid w:val="2AE97E0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40822"/>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AE0E14"/>
    <w:rsid w:val="2FC86676"/>
    <w:rsid w:val="2FD17A1B"/>
    <w:rsid w:val="2FD71CA4"/>
    <w:rsid w:val="2FDC432A"/>
    <w:rsid w:val="2FDC4A8D"/>
    <w:rsid w:val="2FDD73CC"/>
    <w:rsid w:val="2FE27109"/>
    <w:rsid w:val="2FEA743A"/>
    <w:rsid w:val="2FF24D11"/>
    <w:rsid w:val="2FF93066"/>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D44C6"/>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309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5260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26D01"/>
    <w:rsid w:val="351A603C"/>
    <w:rsid w:val="352821F6"/>
    <w:rsid w:val="35292624"/>
    <w:rsid w:val="3533698A"/>
    <w:rsid w:val="35387F19"/>
    <w:rsid w:val="3539550B"/>
    <w:rsid w:val="35413331"/>
    <w:rsid w:val="354319AA"/>
    <w:rsid w:val="354C59D6"/>
    <w:rsid w:val="354D5E0E"/>
    <w:rsid w:val="355D10E3"/>
    <w:rsid w:val="356150BC"/>
    <w:rsid w:val="356678B4"/>
    <w:rsid w:val="3573649F"/>
    <w:rsid w:val="35774602"/>
    <w:rsid w:val="357E4B0A"/>
    <w:rsid w:val="35866D7F"/>
    <w:rsid w:val="358F6BDF"/>
    <w:rsid w:val="35917C0B"/>
    <w:rsid w:val="35A26AC9"/>
    <w:rsid w:val="35A440D7"/>
    <w:rsid w:val="35AE1117"/>
    <w:rsid w:val="35AE3DE9"/>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E40A8"/>
    <w:rsid w:val="394B6470"/>
    <w:rsid w:val="395C6EA8"/>
    <w:rsid w:val="39872512"/>
    <w:rsid w:val="39A007AA"/>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5B5607"/>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12E5F"/>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41C7D"/>
    <w:rsid w:val="3E490256"/>
    <w:rsid w:val="3E4C2EC5"/>
    <w:rsid w:val="3E55739E"/>
    <w:rsid w:val="3E68075C"/>
    <w:rsid w:val="3E6C43C8"/>
    <w:rsid w:val="3E6E6161"/>
    <w:rsid w:val="3E8227F0"/>
    <w:rsid w:val="3E937F82"/>
    <w:rsid w:val="3E9B4B40"/>
    <w:rsid w:val="3EB71AC8"/>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753FE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235FA2"/>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300D9C"/>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6684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4D071A"/>
    <w:rsid w:val="4A5A756D"/>
    <w:rsid w:val="4A722B4C"/>
    <w:rsid w:val="4A785772"/>
    <w:rsid w:val="4A7A7433"/>
    <w:rsid w:val="4A842E43"/>
    <w:rsid w:val="4A886D1D"/>
    <w:rsid w:val="4A89105B"/>
    <w:rsid w:val="4A955EEB"/>
    <w:rsid w:val="4AA341CC"/>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4E51AF"/>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836EB9"/>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F77EA"/>
    <w:rsid w:val="53367575"/>
    <w:rsid w:val="533933AA"/>
    <w:rsid w:val="533B7F54"/>
    <w:rsid w:val="533D2D66"/>
    <w:rsid w:val="535009E1"/>
    <w:rsid w:val="53650168"/>
    <w:rsid w:val="53651B4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8A51DF"/>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53B57"/>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C2720"/>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9B"/>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C80101"/>
    <w:rsid w:val="60D4742F"/>
    <w:rsid w:val="60D67C80"/>
    <w:rsid w:val="60D95276"/>
    <w:rsid w:val="60E06DEB"/>
    <w:rsid w:val="60E51841"/>
    <w:rsid w:val="61110088"/>
    <w:rsid w:val="611647A0"/>
    <w:rsid w:val="61185172"/>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AE6C7C"/>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1D1B03"/>
    <w:rsid w:val="65460728"/>
    <w:rsid w:val="654835A8"/>
    <w:rsid w:val="654C7056"/>
    <w:rsid w:val="654D7A6A"/>
    <w:rsid w:val="6569051B"/>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984358"/>
    <w:rsid w:val="66987BD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80874"/>
    <w:rsid w:val="692E74C3"/>
    <w:rsid w:val="69307671"/>
    <w:rsid w:val="69437CE3"/>
    <w:rsid w:val="695D6B21"/>
    <w:rsid w:val="69611EE7"/>
    <w:rsid w:val="69621F5B"/>
    <w:rsid w:val="696C708E"/>
    <w:rsid w:val="696F4D5D"/>
    <w:rsid w:val="69850877"/>
    <w:rsid w:val="698C13C5"/>
    <w:rsid w:val="69C12919"/>
    <w:rsid w:val="69C71624"/>
    <w:rsid w:val="69EB1E1E"/>
    <w:rsid w:val="69F0745A"/>
    <w:rsid w:val="6A0D20F2"/>
    <w:rsid w:val="6A117613"/>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1FBE"/>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05683"/>
    <w:rsid w:val="70216162"/>
    <w:rsid w:val="70291C03"/>
    <w:rsid w:val="702B6F43"/>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62CE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55B0E"/>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2024-11-08T07:23:35Z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